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B4DA1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黑体" w:hAnsi="黑体" w:eastAsia="黑体" w:cs="黑体"/>
          <w:spacing w:val="-1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《安徽文达信息工程学院学术研究》</w:t>
      </w:r>
      <w:r>
        <w:rPr>
          <w:rFonts w:hint="eastAsia" w:ascii="黑体" w:hAnsi="黑体" w:eastAsia="黑体" w:cs="黑体"/>
          <w:spacing w:val="-1"/>
          <w:sz w:val="40"/>
          <w:szCs w:val="40"/>
          <w:lang w:val="en-US" w:eastAsia="zh-CN"/>
        </w:rPr>
        <w:t>2016年第2期目录</w:t>
      </w:r>
    </w:p>
    <w:p w14:paraId="2F5C6300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328D17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</w:rPr>
      </w:pPr>
      <w:r>
        <w:rPr>
          <w:rFonts w:hint="eastAsia" w:ascii="黑体" w:hAnsi="黑体" w:eastAsia="黑体" w:cs="黑体"/>
          <w:spacing w:val="9"/>
          <w:sz w:val="24"/>
          <w:szCs w:val="24"/>
        </w:rPr>
        <w:t>机电研究</w:t>
      </w:r>
    </w:p>
    <w:p w14:paraId="152446CB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15705AF4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基于虚拟阵元设计的稀疏基阵的水下正视声学成像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鹏 ,黄兆宇 ,徐丽华 ,等</w:t>
      </w:r>
    </w:p>
    <w:p w14:paraId="1990C829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基于化学振荡反应的多参数测量系统设计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陈晓宁 , 张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坛</w:t>
      </w:r>
    </w:p>
    <w:p w14:paraId="76D1CA45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基于MC9S12XS128和LTC6803</w:t>
      </w:r>
      <w:r>
        <w:rPr>
          <w:rFonts w:hint="eastAsia" w:ascii="宋体" w:hAnsi="宋体" w:eastAsia="宋体" w:cs="宋体"/>
          <w:spacing w:val="-1"/>
          <w:sz w:val="22"/>
          <w:szCs w:val="22"/>
          <w:lang w:eastAsia="zh-CN"/>
        </w:rPr>
        <w:t>—</w:t>
      </w:r>
      <w:bookmarkStart w:id="0" w:name="_GoBack"/>
      <w:bookmarkEnd w:id="0"/>
      <w:r>
        <w:rPr>
          <w:rFonts w:hint="eastAsia" w:ascii="宋体" w:hAnsi="宋体" w:eastAsia="宋体" w:cs="宋体"/>
          <w:spacing w:val="-1"/>
          <w:sz w:val="22"/>
          <w:szCs w:val="22"/>
        </w:rPr>
        <w:t>4的WSN节点光伏充电管理系统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古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冉 , 焦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俊 ,孟珠李 ,等</w:t>
      </w:r>
    </w:p>
    <w:p w14:paraId="47B9778C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基于自顶向下分裂聚类的图像匹配算法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谢宜婷 ,王爱平 , 邹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海</w:t>
      </w:r>
    </w:p>
    <w:p w14:paraId="487CE44E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低信噪比下基于信号子空间的语音增强算法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红 ,王爱平 , 邹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海</w:t>
      </w:r>
    </w:p>
    <w:p w14:paraId="36435363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基于PLC一体机的空气压缩机余热回收控制系统方案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何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莞 , 叶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丹 , 高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梅 ,等</w:t>
      </w:r>
    </w:p>
    <w:p w14:paraId="478A5341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418DA3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</w:rPr>
      </w:pPr>
      <w:r>
        <w:rPr>
          <w:rFonts w:hint="eastAsia" w:ascii="黑体" w:hAnsi="黑体" w:eastAsia="黑体" w:cs="黑体"/>
          <w:spacing w:val="9"/>
          <w:sz w:val="24"/>
          <w:szCs w:val="24"/>
        </w:rPr>
        <w:t>皖人与皖文化研究</w:t>
      </w:r>
    </w:p>
    <w:p w14:paraId="7A40E5A5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7F4998F0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论“皖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派”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学者与《四库全书》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徐道彬</w:t>
      </w:r>
    </w:p>
    <w:p w14:paraId="5E5AE9F1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陈独秀对新文化运动的作用再探讨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汤奇学</w:t>
      </w:r>
    </w:p>
    <w:p w14:paraId="3FA8F471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5DAC4E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</w:rPr>
      </w:pPr>
      <w:r>
        <w:rPr>
          <w:rFonts w:hint="eastAsia" w:ascii="黑体" w:hAnsi="黑体" w:eastAsia="黑体" w:cs="黑体"/>
          <w:spacing w:val="9"/>
          <w:sz w:val="24"/>
          <w:szCs w:val="24"/>
        </w:rPr>
        <w:t>经济研究</w:t>
      </w:r>
    </w:p>
    <w:p w14:paraId="35E7788B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4FB7CC7F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差错管理文化与员工双元绩效的关系研究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杜鹏程 ,黄志强</w:t>
      </w:r>
    </w:p>
    <w:p w14:paraId="5E6DA99B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基于因子分析法的农产品 B2C平台的商品竞争力分析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熊章远</w:t>
      </w:r>
    </w:p>
    <w:p w14:paraId="0CBE9C58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行业视角下的企业资本结构影响因素分析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李雪婷 , 张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瑞</w:t>
      </w:r>
    </w:p>
    <w:p w14:paraId="2F4A99B7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743297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</w:rPr>
      </w:pPr>
      <w:r>
        <w:rPr>
          <w:rFonts w:hint="eastAsia" w:ascii="黑体" w:hAnsi="黑体" w:eastAsia="黑体" w:cs="黑体"/>
          <w:spacing w:val="9"/>
          <w:sz w:val="24"/>
          <w:szCs w:val="24"/>
        </w:rPr>
        <w:t>外语研究</w:t>
      </w:r>
    </w:p>
    <w:p w14:paraId="62DC4B57">
      <w:pPr>
        <w:keepNext w:val="0"/>
        <w:keepLines w:val="0"/>
        <w:pageBreakBefore w:val="0"/>
        <w:widowControl/>
        <w:tabs>
          <w:tab w:val="right" w:leader="middleDot" w:pos="9659"/>
          <w:tab w:val="right" w:leader="middleDot" w:pos="105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5CEAD842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中国文化负载词的外宣翻译</w:t>
      </w:r>
    </w:p>
    <w:p w14:paraId="43B72D64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ind w:firstLine="380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5"/>
          <w:kern w:val="0"/>
          <w:sz w:val="22"/>
          <w:szCs w:val="22"/>
          <w:lang w:val="en-US" w:eastAsia="zh-CN" w:bidi="ar-SA"/>
        </w:rPr>
        <w:t>——</w:t>
      </w:r>
      <w:r>
        <w:rPr>
          <w:rFonts w:hint="eastAsia" w:ascii="楷体" w:hAnsi="楷体" w:eastAsia="楷体" w:cs="楷体"/>
          <w:snapToGrid w:val="0"/>
          <w:color w:val="000000"/>
          <w:spacing w:val="-15"/>
          <w:kern w:val="0"/>
          <w:sz w:val="22"/>
          <w:szCs w:val="22"/>
          <w:lang w:val="en-US" w:eastAsia="en-US" w:bidi="ar-SA"/>
        </w:rPr>
        <w:t>以中国文化走出去战略为驱动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孔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标 , 刘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莎</w:t>
      </w:r>
    </w:p>
    <w:p w14:paraId="5D774DB3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合肥英语新闻翻译初稿中的 “假朋友</w:t>
      </w:r>
      <w:r>
        <w:rPr>
          <w:rFonts w:hint="eastAsia" w:ascii="宋体" w:hAnsi="宋体" w:eastAsia="宋体" w:cs="宋体"/>
          <w:spacing w:val="-1"/>
          <w:sz w:val="22"/>
          <w:szCs w:val="22"/>
          <w:lang w:eastAsia="zh-CN"/>
        </w:rPr>
        <w:t>”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案例浅析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奚雅云</w:t>
      </w:r>
    </w:p>
    <w:p w14:paraId="48FE4217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中国传统文化与西方人本主义教学法的冲突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秦添婴</w:t>
      </w:r>
    </w:p>
    <w:p w14:paraId="5734806E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基于情感因素的大学英语课堂教学模式探索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玲</w:t>
      </w:r>
    </w:p>
    <w:p w14:paraId="4BCDA316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从《黑处有什么》看电影中青春期女性形象塑造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毛晓敏</w:t>
      </w:r>
    </w:p>
    <w:p w14:paraId="5B2866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2" w:lineRule="auto"/>
        <w:ind w:left="0"/>
        <w:textAlignment w:val="baseline"/>
        <w:rPr>
          <w:rFonts w:hint="eastAsia" w:ascii="宋体" w:hAnsi="宋体" w:eastAsia="宋体" w:cs="宋体"/>
          <w:spacing w:val="0"/>
          <w:w w:val="100"/>
          <w:sz w:val="22"/>
          <w:szCs w:val="22"/>
        </w:rPr>
      </w:pPr>
    </w:p>
    <w:p w14:paraId="0AE731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2" w:lineRule="auto"/>
        <w:ind w:left="0"/>
        <w:textAlignment w:val="baseline"/>
        <w:rPr>
          <w:rFonts w:hint="eastAsia" w:ascii="宋体" w:hAnsi="宋体" w:eastAsia="宋体" w:cs="宋体"/>
          <w:spacing w:val="0"/>
          <w:w w:val="100"/>
          <w:sz w:val="22"/>
          <w:szCs w:val="22"/>
        </w:rPr>
      </w:pPr>
    </w:p>
    <w:p w14:paraId="3B8A4E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3" w:lineRule="auto"/>
        <w:ind w:left="0"/>
        <w:textAlignment w:val="baseline"/>
        <w:rPr>
          <w:rFonts w:hint="eastAsia" w:ascii="宋体" w:hAnsi="宋体" w:eastAsia="宋体" w:cs="宋体"/>
          <w:spacing w:val="0"/>
          <w:w w:val="100"/>
          <w:sz w:val="22"/>
          <w:szCs w:val="22"/>
        </w:rPr>
      </w:pPr>
    </w:p>
    <w:p w14:paraId="49D68C7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3" w:lineRule="auto"/>
        <w:ind w:left="0"/>
        <w:textAlignment w:val="baseline"/>
        <w:rPr>
          <w:rFonts w:hint="eastAsia" w:ascii="宋体" w:hAnsi="宋体" w:eastAsia="宋体" w:cs="宋体"/>
          <w:spacing w:val="0"/>
          <w:w w:val="100"/>
          <w:sz w:val="22"/>
          <w:szCs w:val="22"/>
        </w:rPr>
      </w:pPr>
    </w:p>
    <w:sectPr>
      <w:pgSz w:w="11907" w:h="16841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5B10083"/>
    <w:rsid w:val="1166419F"/>
    <w:rsid w:val="17544559"/>
    <w:rsid w:val="35BD5B84"/>
    <w:rsid w:val="52F926CF"/>
    <w:rsid w:val="5DD1311B"/>
    <w:rsid w:val="64B92B25"/>
    <w:rsid w:val="64CD1105"/>
    <w:rsid w:val="766B2BF9"/>
    <w:rsid w:val="76966F18"/>
    <w:rsid w:val="7AA72B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